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E263" w14:textId="52007ABA" w:rsidR="001F7C35" w:rsidRPr="00766D92" w:rsidRDefault="001F7C35" w:rsidP="001F7C35">
      <w:pPr>
        <w:spacing w:after="0"/>
        <w:rPr>
          <w:rFonts w:ascii="Times New Roman" w:hAnsi="Times New Roman" w:cs="Times New Roman"/>
          <w:sz w:val="28"/>
          <w:szCs w:val="28"/>
          <w:lang w:val="kk-KZ"/>
        </w:rPr>
      </w:pPr>
      <w:r>
        <w:rPr>
          <w:rFonts w:ascii="Times New Roman" w:hAnsi="Times New Roman" w:cs="Times New Roman"/>
          <w:sz w:val="28"/>
          <w:szCs w:val="28"/>
          <w:highlight w:val="yellow"/>
          <w:lang w:val="kk-KZ"/>
        </w:rPr>
        <w:t xml:space="preserve">9 </w:t>
      </w:r>
      <w:r w:rsidRPr="00C36F6C">
        <w:rPr>
          <w:rFonts w:ascii="Times New Roman" w:hAnsi="Times New Roman" w:cs="Times New Roman"/>
          <w:sz w:val="28"/>
          <w:szCs w:val="28"/>
          <w:highlight w:val="yellow"/>
          <w:lang w:val="kk-KZ"/>
        </w:rPr>
        <w:t>Дәріс -</w:t>
      </w:r>
      <w:r w:rsidR="00DE0F45" w:rsidRPr="00DE0F45">
        <w:rPr>
          <w:rFonts w:ascii="Times New Roman" w:hAnsi="Times New Roman" w:cs="Times New Roman"/>
          <w:sz w:val="28"/>
          <w:szCs w:val="28"/>
          <w:lang w:val="kk-KZ"/>
        </w:rPr>
        <w:t xml:space="preserve"> </w:t>
      </w:r>
      <w:r w:rsidR="00DE0F45" w:rsidRPr="00DE0F45">
        <w:rPr>
          <w:rFonts w:ascii="Times New Roman" w:hAnsi="Times New Roman" w:cs="Times New Roman"/>
          <w:sz w:val="28"/>
          <w:szCs w:val="28"/>
          <w:lang w:val="kk-KZ"/>
        </w:rPr>
        <w:t>Мемлекеттік және азаматтық қызметтегі өзгерістерді басқару тәуекелдер жағдайында әзірлеу және тиімді орындалуы</w:t>
      </w:r>
    </w:p>
    <w:p w14:paraId="1B48DF76" w14:textId="77777777" w:rsidR="001F7C35" w:rsidRDefault="001F7C35" w:rsidP="001F7C35">
      <w:pPr>
        <w:spacing w:after="0"/>
        <w:rPr>
          <w:rFonts w:ascii="Times New Roman" w:hAnsi="Times New Roman" w:cs="Times New Roman"/>
          <w:b/>
          <w:bCs/>
          <w:sz w:val="28"/>
          <w:szCs w:val="28"/>
          <w:lang w:val="kk-KZ"/>
        </w:rPr>
      </w:pPr>
    </w:p>
    <w:p w14:paraId="55B17022" w14:textId="77777777" w:rsidR="001F7C35" w:rsidRPr="00766D92" w:rsidRDefault="001F7C35" w:rsidP="001F7C35">
      <w:pPr>
        <w:spacing w:after="0"/>
        <w:rPr>
          <w:rFonts w:ascii="Times New Roman" w:hAnsi="Times New Roman" w:cs="Times New Roman"/>
          <w:b/>
          <w:bCs/>
          <w:sz w:val="28"/>
          <w:szCs w:val="28"/>
          <w:lang w:val="kk-KZ"/>
        </w:rPr>
      </w:pPr>
      <w:r w:rsidRPr="00C36F6C">
        <w:rPr>
          <w:rFonts w:ascii="Times New Roman" w:hAnsi="Times New Roman" w:cs="Times New Roman"/>
          <w:b/>
          <w:bCs/>
          <w:sz w:val="28"/>
          <w:szCs w:val="28"/>
          <w:highlight w:val="cyan"/>
          <w:lang w:val="kk-KZ"/>
        </w:rPr>
        <w:t>Сұрақтар:</w:t>
      </w:r>
    </w:p>
    <w:p w14:paraId="30C18A1C" w14:textId="77777777" w:rsidR="00DE0F45" w:rsidRPr="00DE0F45" w:rsidRDefault="001F7C35" w:rsidP="00DE0F45">
      <w:pPr>
        <w:tabs>
          <w:tab w:val="left" w:pos="1380"/>
        </w:tabs>
        <w:rPr>
          <w:rFonts w:ascii="Times New Roman" w:eastAsia="Calibri" w:hAnsi="Times New Roman" w:cs="Times New Roman"/>
          <w:bCs/>
          <w:color w:val="000000" w:themeColor="text1"/>
          <w:sz w:val="28"/>
          <w:szCs w:val="28"/>
          <w:lang w:val="kk-KZ"/>
        </w:rPr>
      </w:pPr>
      <w:r w:rsidRPr="00DE0F45">
        <w:rPr>
          <w:rFonts w:ascii="Times New Roman" w:hAnsi="Times New Roman" w:cs="Times New Roman"/>
          <w:sz w:val="28"/>
          <w:szCs w:val="28"/>
          <w:lang w:val="kk-KZ"/>
        </w:rPr>
        <w:t xml:space="preserve">1.1 </w:t>
      </w:r>
      <w:r w:rsidR="00DE0F45" w:rsidRPr="00DE0F45">
        <w:rPr>
          <w:rFonts w:ascii="Times New Roman" w:hAnsi="Times New Roman" w:cs="Times New Roman"/>
          <w:sz w:val="28"/>
          <w:szCs w:val="28"/>
          <w:lang w:val="kk-KZ"/>
        </w:rPr>
        <w:t>Мемлекеттік және азаматтық қызметтегі өзгерістерді басқару тәуекелдер жағдайында әзірлеу</w:t>
      </w:r>
    </w:p>
    <w:p w14:paraId="07B2C3B9" w14:textId="77777777" w:rsidR="00DE0F45" w:rsidRPr="00DE0F45" w:rsidRDefault="001F7C35" w:rsidP="00DE0F45">
      <w:pPr>
        <w:tabs>
          <w:tab w:val="left" w:pos="1380"/>
        </w:tabs>
        <w:rPr>
          <w:rFonts w:ascii="Times New Roman" w:eastAsia="Calibri" w:hAnsi="Times New Roman" w:cs="Times New Roman"/>
          <w:bCs/>
          <w:color w:val="000000" w:themeColor="text1"/>
          <w:sz w:val="28"/>
          <w:szCs w:val="28"/>
          <w:lang w:val="kk-KZ"/>
        </w:rPr>
      </w:pPr>
      <w:r w:rsidRPr="00DE0F45">
        <w:rPr>
          <w:rFonts w:ascii="Times New Roman" w:hAnsi="Times New Roman" w:cs="Times New Roman"/>
          <w:sz w:val="28"/>
          <w:szCs w:val="28"/>
          <w:lang w:val="kk-KZ"/>
        </w:rPr>
        <w:t xml:space="preserve">1.2 </w:t>
      </w:r>
      <w:r w:rsidR="00DE0F45" w:rsidRPr="00DE0F45">
        <w:rPr>
          <w:rFonts w:ascii="Times New Roman" w:hAnsi="Times New Roman" w:cs="Times New Roman"/>
          <w:sz w:val="28"/>
          <w:szCs w:val="28"/>
          <w:lang w:val="kk-KZ"/>
        </w:rPr>
        <w:t>Мемлекеттік және азаматтық қызметтегі өзгерістерді басқару тәуекелдер жағдайында тиімді орындау</w:t>
      </w:r>
    </w:p>
    <w:p w14:paraId="7232A738" w14:textId="700B3F42" w:rsidR="001F7C35" w:rsidRPr="00766D92" w:rsidRDefault="001F7C35" w:rsidP="001F7C35">
      <w:pPr>
        <w:spacing w:after="0"/>
        <w:rPr>
          <w:rFonts w:ascii="Times New Roman" w:hAnsi="Times New Roman" w:cs="Times New Roman"/>
          <w:sz w:val="28"/>
          <w:szCs w:val="28"/>
          <w:lang w:val="kk-KZ"/>
        </w:rPr>
      </w:pPr>
    </w:p>
    <w:p w14:paraId="1C461385" w14:textId="77777777" w:rsidR="001F7C35" w:rsidRPr="00766D92" w:rsidRDefault="001F7C35" w:rsidP="001F7C35">
      <w:pPr>
        <w:spacing w:after="0"/>
        <w:rPr>
          <w:rFonts w:ascii="Times New Roman" w:hAnsi="Times New Roman" w:cs="Times New Roman"/>
          <w:b/>
          <w:bCs/>
          <w:sz w:val="28"/>
          <w:szCs w:val="28"/>
          <w:lang w:val="kk-KZ"/>
        </w:rPr>
      </w:pPr>
      <w:r w:rsidRPr="00766D92">
        <w:rPr>
          <w:rFonts w:ascii="Times New Roman" w:hAnsi="Times New Roman" w:cs="Times New Roman"/>
          <w:b/>
          <w:bCs/>
          <w:sz w:val="28"/>
          <w:szCs w:val="28"/>
          <w:lang w:val="kk-KZ"/>
        </w:rPr>
        <w:t xml:space="preserve">    </w:t>
      </w:r>
    </w:p>
    <w:p w14:paraId="476798AD" w14:textId="1C77EEBB" w:rsidR="001F7C35" w:rsidRPr="00C36F6C" w:rsidRDefault="001F7C35" w:rsidP="001F7C35">
      <w:pPr>
        <w:spacing w:after="0"/>
        <w:rPr>
          <w:rFonts w:ascii="Times New Roman" w:hAnsi="Times New Roman" w:cs="Times New Roman"/>
          <w:sz w:val="28"/>
          <w:szCs w:val="28"/>
          <w:lang w:val="kk-KZ"/>
        </w:rPr>
      </w:pPr>
      <w:r w:rsidRPr="00C36F6C">
        <w:rPr>
          <w:rFonts w:ascii="Times New Roman" w:hAnsi="Times New Roman" w:cs="Times New Roman"/>
          <w:sz w:val="28"/>
          <w:szCs w:val="28"/>
          <w:highlight w:val="yellow"/>
          <w:lang w:val="kk-KZ"/>
        </w:rPr>
        <w:t>Мақсаты -</w:t>
      </w:r>
      <w:r>
        <w:rPr>
          <w:rFonts w:ascii="Times New Roman" w:hAnsi="Times New Roman" w:cs="Times New Roman"/>
          <w:sz w:val="28"/>
          <w:szCs w:val="28"/>
          <w:lang w:val="kk-KZ"/>
        </w:rPr>
        <w:t xml:space="preserve">  </w:t>
      </w:r>
      <w:r w:rsidR="00DE0F45" w:rsidRPr="00DE0F45">
        <w:rPr>
          <w:rFonts w:ascii="Times New Roman" w:hAnsi="Times New Roman" w:cs="Times New Roman"/>
          <w:sz w:val="28"/>
          <w:szCs w:val="28"/>
          <w:lang w:val="kk-KZ"/>
        </w:rPr>
        <w:t>Студенттерге  мемлекеттік және азаматтық қызметтегі өзгерістерді басқару тәуекелдер жағдайында әзірлеу және тиімді орындаруы      жан-жақты кешенді</w:t>
      </w:r>
      <w:r>
        <w:rPr>
          <w:rFonts w:ascii="Times New Roman" w:hAnsi="Times New Roman" w:cs="Times New Roman"/>
          <w:sz w:val="28"/>
          <w:szCs w:val="28"/>
          <w:lang w:val="kk-KZ"/>
        </w:rPr>
        <w:t xml:space="preserve">                               </w:t>
      </w:r>
      <w:r w:rsidRPr="00C36F6C">
        <w:rPr>
          <w:rFonts w:ascii="Times New Roman" w:hAnsi="Times New Roman" w:cs="Times New Roman"/>
          <w:sz w:val="28"/>
          <w:szCs w:val="28"/>
          <w:highlight w:val="cyan"/>
          <w:lang w:val="kk-KZ"/>
        </w:rPr>
        <w:t>түсіндіру</w:t>
      </w:r>
    </w:p>
    <w:p w14:paraId="0C935EF4" w14:textId="744E8CC7" w:rsidR="00EF6081" w:rsidRDefault="00EF6081"/>
    <w:p w14:paraId="667E3BAF" w14:textId="77777777" w:rsidR="00DE0F45" w:rsidRPr="00DE0F45" w:rsidRDefault="00DE0F45" w:rsidP="00DE0F45">
      <w:pPr>
        <w:jc w:val="both"/>
        <w:rPr>
          <w:rFonts w:ascii="Times New Roman" w:hAnsi="Times New Roman" w:cs="Times New Roman"/>
          <w:sz w:val="28"/>
          <w:szCs w:val="28"/>
          <w:lang w:val="kk-KZ"/>
        </w:rPr>
      </w:pPr>
      <w:r w:rsidRPr="00DE0F45">
        <w:rPr>
          <w:rFonts w:ascii="Times New Roman" w:hAnsi="Times New Roman" w:cs="Times New Roman"/>
          <w:sz w:val="28"/>
          <w:szCs w:val="28"/>
          <w:lang w:val="kk-KZ"/>
        </w:rPr>
        <w:t>Мемлекеттік басқарудың тиімді жүйесін қалыптастыру мақсатында: - мемлекеттік басқару жүйесін дамытудың бірыңғай саясатын қалыптастыруды қамтамасыз ету; - мемлекеттік аппарат қызметінің кәсібилігін және тиімділігін арттыруды қамтамасыз ету; - мемлекеттік органдардың қызметін халыққа сапалы мемлекеттік қызметтер ұсынуға бағдарлау; - мемлекеттік аппарат қызметінің айқындылғы мен ашықтығын қамтамасыз ету қажет. Қызмет көрсету сапасын арттыру үшін заңнамалық негіз жасалды. Қызметтердің тізілімі мен осы тізілімге енгізілген қызмет көрсету стандарттары бекітілді, Халыққа қызмет көрсету орталықтары арқылы қызмет көрсету басталды. Жұртшылықпен кері байланыс орнату үшін көрсетілетін қызмет сапасын бағалау бойынша тұрғындар арасында әлеуметтік сауалнама жүргізу басталды. Әкімшілік кедергілерді азайту үшін Қазақстан Республикасының Үкіметі жеке кәсіпкерлік субъектілеріне қатысты мемлекеттік органдардың рұқсат беру жүйесі мен бақылау-қадағалау қызметін жетілдіру жөнінде шаралар қабылдады. Мемлекеттік органдардың бақылау қызметтерін ретке келтіру үшін тәуекелдерді басқару жүйесінің негізінде тексерудің кезеңділігін белгілеуге мүмкіндік беретін тетік заңды түрде енгізілді. Қазақстан Республикасының мемлекеттік басқару жүйесін жаңғырту тұжырымдамасын іске асыру Қазақстан Республикасындағы мемлекеттік басқару жүйесін жетілдіру саласында қоғамның қажеттіліктерін, жеке және заңды тұлғалардың құқықтарын, бостандықтары мен заңды мүдделерін қанағаттандыру деңгейін арттыруға бағытталған бірыңғай, сындарлы саясат жүргізуді қамтамасыз етуге мүмкіндік береді.</w:t>
      </w:r>
    </w:p>
    <w:p w14:paraId="13C4A51C" w14:textId="77777777" w:rsidR="00DE0F45" w:rsidRPr="00DE0F45" w:rsidRDefault="00DE0F45" w:rsidP="00DE0F45">
      <w:pPr>
        <w:jc w:val="both"/>
        <w:rPr>
          <w:rFonts w:ascii="Times New Roman" w:hAnsi="Times New Roman" w:cs="Times New Roman"/>
          <w:sz w:val="28"/>
          <w:szCs w:val="28"/>
          <w:lang w:val="kk-KZ"/>
        </w:rPr>
      </w:pPr>
      <w:r w:rsidRPr="00DE0F45">
        <w:rPr>
          <w:rFonts w:ascii="Times New Roman" w:hAnsi="Times New Roman" w:cs="Times New Roman"/>
          <w:sz w:val="28"/>
          <w:szCs w:val="28"/>
          <w:lang w:val="kk-KZ"/>
        </w:rPr>
        <w:t>Тәуекелдерді басқару жүйесі</w:t>
      </w:r>
    </w:p>
    <w:p w14:paraId="79FED24C" w14:textId="77777777" w:rsidR="00DE0F45" w:rsidRPr="00DE0F45" w:rsidRDefault="00DE0F45" w:rsidP="00DE0F45">
      <w:pPr>
        <w:jc w:val="both"/>
        <w:rPr>
          <w:rFonts w:ascii="Times New Roman" w:hAnsi="Times New Roman" w:cs="Times New Roman"/>
          <w:sz w:val="28"/>
          <w:szCs w:val="28"/>
          <w:lang w:val="kk-KZ"/>
        </w:rPr>
      </w:pPr>
      <w:r w:rsidRPr="00DE0F45">
        <w:rPr>
          <w:rFonts w:ascii="Times New Roman" w:hAnsi="Times New Roman" w:cs="Times New Roman"/>
          <w:sz w:val="28"/>
          <w:szCs w:val="28"/>
          <w:lang w:val="kk-KZ"/>
        </w:rPr>
        <w:lastRenderedPageBreak/>
        <w:t>Тәуекелдерді басқару саясатына негізделген, онда тәуекелдерді басқарудың корпоративтік жүйесінің көрінісі, мақсаттары мен міндеттері көрсетілген, тәуекелдерді басқару процесінің негізгі қағидаттары, тәуекелдерді басқару құрылымы, тәуекелдерді басқару жүйесінің негізгі компоненттері анықталған, сонымен қатар жүйелі түрде қамтамасыз етілген және тәуекелдерді басқару процесін іске асырудың дәйекті тәсілі.</w:t>
      </w:r>
    </w:p>
    <w:p w14:paraId="3FD6B77A" w14:textId="77777777" w:rsidR="00DE0F45" w:rsidRPr="00DE0F45" w:rsidRDefault="00DE0F45" w:rsidP="00DE0F45">
      <w:pPr>
        <w:jc w:val="both"/>
        <w:rPr>
          <w:rFonts w:ascii="Times New Roman" w:hAnsi="Times New Roman" w:cs="Times New Roman"/>
          <w:sz w:val="28"/>
          <w:szCs w:val="28"/>
          <w:lang w:val="kk-KZ"/>
        </w:rPr>
      </w:pPr>
      <w:r w:rsidRPr="00DE0F45">
        <w:rPr>
          <w:rFonts w:ascii="Times New Roman" w:hAnsi="Times New Roman" w:cs="Times New Roman"/>
          <w:sz w:val="28"/>
          <w:szCs w:val="28"/>
          <w:lang w:val="kk-KZ"/>
        </w:rPr>
        <w:t>Ықтимал тәуекелдерді уақтылы және тиімді басқару және сапалы мониторинг жүргізу мақсатында Тәуекелдерді басқару департаменті Инвестициялар жөніндегі комитетке және Басқармаға, сондай-ақ Аудит және тәуекелдер жөніндегі комитетке және Директорлар кеңесіне тәуекелдер картасының жай-күйі, негізгі тәуекелдер шараларын орындау және қазынашылық және инвестициялық портфельдердің несиелік тәуекелдерін бағалау туралы жаңартылған есептер ұсынады. тоқсан сайын.</w:t>
      </w:r>
    </w:p>
    <w:p w14:paraId="2B49A58E" w14:textId="77777777" w:rsidR="00DE0F45" w:rsidRPr="00DE0F45" w:rsidRDefault="00DE0F45" w:rsidP="00DE0F45">
      <w:pPr>
        <w:jc w:val="both"/>
        <w:rPr>
          <w:rFonts w:ascii="Times New Roman" w:hAnsi="Times New Roman" w:cs="Times New Roman"/>
          <w:sz w:val="28"/>
          <w:szCs w:val="28"/>
          <w:lang w:val="kk-KZ"/>
        </w:rPr>
      </w:pPr>
      <w:r w:rsidRPr="00DE0F45">
        <w:rPr>
          <w:rFonts w:ascii="Times New Roman" w:hAnsi="Times New Roman" w:cs="Times New Roman"/>
          <w:sz w:val="28"/>
          <w:szCs w:val="28"/>
          <w:lang w:val="kk-KZ"/>
        </w:rPr>
        <w:t>Тәуекелдерді басқару жүйесінің қағидалары:</w:t>
      </w:r>
    </w:p>
    <w:p w14:paraId="4360F115" w14:textId="77777777" w:rsidR="00DE0F45" w:rsidRPr="00DE0F45" w:rsidRDefault="00DE0F45" w:rsidP="00DE0F45">
      <w:pPr>
        <w:jc w:val="both"/>
        <w:rPr>
          <w:rFonts w:ascii="Times New Roman" w:hAnsi="Times New Roman" w:cs="Times New Roman"/>
          <w:sz w:val="28"/>
          <w:szCs w:val="28"/>
          <w:lang w:val="kk-KZ"/>
        </w:rPr>
      </w:pPr>
      <w:r w:rsidRPr="00DE0F45">
        <w:rPr>
          <w:rFonts w:ascii="Times New Roman" w:hAnsi="Times New Roman" w:cs="Times New Roman"/>
          <w:sz w:val="28"/>
          <w:szCs w:val="28"/>
          <w:lang w:val="kk-KZ"/>
        </w:rPr>
        <w:t>Тұтастық- Қоғамның тәуекелдерді басқарудың корпоративтік жүйесі контекстінде Қоғамның жалпы тәуекелінің элементтерін қарастыру</w:t>
      </w:r>
    </w:p>
    <w:p w14:paraId="790D8AD1" w14:textId="77777777" w:rsidR="00DE0F45" w:rsidRPr="00DE0F45" w:rsidRDefault="00DE0F45" w:rsidP="00DE0F45">
      <w:pPr>
        <w:jc w:val="both"/>
        <w:rPr>
          <w:rFonts w:ascii="Times New Roman" w:hAnsi="Times New Roman" w:cs="Times New Roman"/>
          <w:sz w:val="28"/>
          <w:szCs w:val="28"/>
          <w:lang w:val="kk-KZ"/>
        </w:rPr>
      </w:pPr>
      <w:r w:rsidRPr="00DE0F45">
        <w:rPr>
          <w:rFonts w:ascii="Times New Roman" w:hAnsi="Times New Roman" w:cs="Times New Roman"/>
          <w:sz w:val="28"/>
          <w:szCs w:val="28"/>
          <w:lang w:val="kk-KZ"/>
        </w:rPr>
        <w:t>Ашықтық-тәуекелдерді басқарудың корпоративтік жүйесін автономды немесе оқшауланған деп қарастыруға тыйым салу</w:t>
      </w:r>
    </w:p>
    <w:p w14:paraId="17936C1D" w14:textId="77777777" w:rsidR="00DE0F45" w:rsidRPr="00DE0F45" w:rsidRDefault="00DE0F45" w:rsidP="00DE0F45">
      <w:pPr>
        <w:jc w:val="both"/>
        <w:rPr>
          <w:rFonts w:ascii="Times New Roman" w:hAnsi="Times New Roman" w:cs="Times New Roman"/>
          <w:sz w:val="28"/>
          <w:szCs w:val="28"/>
          <w:lang w:val="kk-KZ"/>
        </w:rPr>
      </w:pPr>
      <w:r w:rsidRPr="00DE0F45">
        <w:rPr>
          <w:rFonts w:ascii="Times New Roman" w:hAnsi="Times New Roman" w:cs="Times New Roman"/>
          <w:sz w:val="28"/>
          <w:szCs w:val="28"/>
          <w:lang w:val="kk-KZ"/>
        </w:rPr>
        <w:t>Құрылымдық-тәуекелдерді басқарудың біріктірілген жүйесі нақты құрылымға ие</w:t>
      </w:r>
    </w:p>
    <w:p w14:paraId="0DA75580" w14:textId="77777777" w:rsidR="00DE0F45" w:rsidRPr="00DE0F45" w:rsidRDefault="00DE0F45" w:rsidP="00DE0F45">
      <w:pPr>
        <w:jc w:val="both"/>
        <w:rPr>
          <w:rFonts w:ascii="Times New Roman" w:hAnsi="Times New Roman" w:cs="Times New Roman"/>
          <w:sz w:val="28"/>
          <w:szCs w:val="28"/>
          <w:lang w:val="kk-KZ"/>
        </w:rPr>
      </w:pPr>
      <w:r w:rsidRPr="00DE0F45">
        <w:rPr>
          <w:rFonts w:ascii="Times New Roman" w:hAnsi="Times New Roman" w:cs="Times New Roman"/>
          <w:sz w:val="28"/>
          <w:szCs w:val="28"/>
          <w:lang w:val="kk-KZ"/>
        </w:rPr>
        <w:t>Хабардар болу-тәуекелдерді басқару объективті, сенімді және маңызды ақпараттың болуымен бірге жүреді</w:t>
      </w:r>
    </w:p>
    <w:p w14:paraId="6787D57B" w14:textId="77777777" w:rsidR="00DE0F45" w:rsidRPr="00DE0F45" w:rsidRDefault="00DE0F45" w:rsidP="00DE0F45">
      <w:pPr>
        <w:jc w:val="both"/>
        <w:rPr>
          <w:rFonts w:ascii="Times New Roman" w:hAnsi="Times New Roman" w:cs="Times New Roman"/>
          <w:sz w:val="28"/>
          <w:szCs w:val="28"/>
          <w:lang w:val="kk-KZ"/>
        </w:rPr>
      </w:pPr>
      <w:r w:rsidRPr="00DE0F45">
        <w:rPr>
          <w:rFonts w:ascii="Times New Roman" w:hAnsi="Times New Roman" w:cs="Times New Roman"/>
          <w:sz w:val="28"/>
          <w:szCs w:val="28"/>
          <w:lang w:val="kk-KZ"/>
        </w:rPr>
        <w:t>Үздіксіздік-тәуекелдерді басқару процесі жалғасуда</w:t>
      </w:r>
    </w:p>
    <w:p w14:paraId="6115C28C" w14:textId="77777777" w:rsidR="00DE0F45" w:rsidRPr="00DE0F45" w:rsidRDefault="00DE0F45" w:rsidP="00DE0F45">
      <w:pPr>
        <w:jc w:val="both"/>
        <w:rPr>
          <w:rFonts w:ascii="Times New Roman" w:hAnsi="Times New Roman" w:cs="Times New Roman"/>
          <w:sz w:val="28"/>
          <w:szCs w:val="28"/>
          <w:lang w:val="kk-KZ"/>
        </w:rPr>
      </w:pPr>
      <w:r w:rsidRPr="00DE0F45">
        <w:rPr>
          <w:rFonts w:ascii="Times New Roman" w:hAnsi="Times New Roman" w:cs="Times New Roman"/>
          <w:sz w:val="28"/>
          <w:szCs w:val="28"/>
          <w:lang w:val="kk-KZ"/>
        </w:rPr>
        <w:t>Өзектілігі-тәуекелдерді басқару рәсімдері мен тетіктерін үнемі жетілдіру</w:t>
      </w:r>
    </w:p>
    <w:p w14:paraId="1AD56029" w14:textId="77777777" w:rsidR="00DE0F45" w:rsidRPr="00DE0F45" w:rsidRDefault="00DE0F45" w:rsidP="00DE0F45">
      <w:pPr>
        <w:jc w:val="both"/>
        <w:rPr>
          <w:rFonts w:ascii="Times New Roman" w:hAnsi="Times New Roman" w:cs="Times New Roman"/>
          <w:sz w:val="28"/>
          <w:szCs w:val="28"/>
          <w:lang w:val="kk-KZ"/>
        </w:rPr>
      </w:pPr>
      <w:r w:rsidRPr="00DE0F45">
        <w:rPr>
          <w:rFonts w:ascii="Times New Roman" w:hAnsi="Times New Roman" w:cs="Times New Roman"/>
          <w:sz w:val="28"/>
          <w:szCs w:val="28"/>
          <w:lang w:val="kk-KZ"/>
        </w:rPr>
        <w:t>Уақтылық пен жеделдік-арлық құрылымдық бөлімшелер, «төменнен жоғары» қағидаты бойынша, оның ішінде Қоғам Басқармасы мен Директорлар кеңесі, тиісті тәуекелдердің өзгерістері, жағдайы және мөлшері, барлық стандартты емес операциялар мен жағдайлар туралы ақпарат беру</w:t>
      </w:r>
    </w:p>
    <w:p w14:paraId="06D6BC92" w14:textId="77777777" w:rsidR="00DE0F45" w:rsidRPr="00DE0F45" w:rsidRDefault="00DE0F45" w:rsidP="00DE0F45">
      <w:pPr>
        <w:jc w:val="both"/>
        <w:rPr>
          <w:rFonts w:ascii="Times New Roman" w:hAnsi="Times New Roman" w:cs="Times New Roman"/>
          <w:sz w:val="28"/>
          <w:szCs w:val="28"/>
          <w:lang w:val="kk-KZ"/>
        </w:rPr>
      </w:pPr>
      <w:r w:rsidRPr="00DE0F45">
        <w:rPr>
          <w:rFonts w:ascii="Times New Roman" w:hAnsi="Times New Roman" w:cs="Times New Roman"/>
          <w:sz w:val="28"/>
          <w:szCs w:val="28"/>
          <w:lang w:val="kk-KZ"/>
        </w:rPr>
        <w:t>Атастыру- топ менеджентін тарту, б.а. Басқарма мен Директорлар кеңесі тәуекелдерді басқару және бақылау ортасын құру процесінде</w:t>
      </w:r>
    </w:p>
    <w:p w14:paraId="770CDEF0" w14:textId="77777777" w:rsidR="00DE0F45" w:rsidRPr="00DE0F45" w:rsidRDefault="00DE0F45" w:rsidP="00DE0F45">
      <w:pPr>
        <w:jc w:val="both"/>
        <w:rPr>
          <w:rFonts w:ascii="Times New Roman" w:hAnsi="Times New Roman" w:cs="Times New Roman"/>
          <w:sz w:val="28"/>
          <w:szCs w:val="28"/>
          <w:lang w:val="kk-KZ"/>
        </w:rPr>
      </w:pPr>
      <w:r w:rsidRPr="00DE0F45">
        <w:rPr>
          <w:rFonts w:ascii="Times New Roman" w:hAnsi="Times New Roman" w:cs="Times New Roman"/>
          <w:sz w:val="28"/>
          <w:szCs w:val="28"/>
          <w:lang w:val="kk-KZ"/>
        </w:rPr>
        <w:t>Өкілеттіктерді бөлу-қызметкерлердің өкілеттіктерін нақты бөлу және қызметкердің жауапкершілік аймағы мүдделер қақтығысына мүмкіндік беретін жағдайларды болдырмау</w:t>
      </w:r>
    </w:p>
    <w:p w14:paraId="43D19C57" w14:textId="77777777" w:rsidR="00DE0F45" w:rsidRPr="00DE0F45" w:rsidRDefault="00DE0F45" w:rsidP="00DE0F45">
      <w:pPr>
        <w:jc w:val="both"/>
        <w:rPr>
          <w:rFonts w:ascii="Times New Roman" w:hAnsi="Times New Roman" w:cs="Times New Roman"/>
          <w:sz w:val="28"/>
          <w:szCs w:val="28"/>
          <w:lang w:val="kk-KZ"/>
        </w:rPr>
      </w:pPr>
      <w:r w:rsidRPr="00DE0F45">
        <w:rPr>
          <w:rFonts w:ascii="Times New Roman" w:hAnsi="Times New Roman" w:cs="Times New Roman"/>
          <w:sz w:val="28"/>
          <w:szCs w:val="28"/>
          <w:lang w:val="kk-KZ"/>
        </w:rPr>
        <w:t>Тәуелсіздік-Қоғам қызметінің барлық бағыттарындағы тәуекелдерді басқаруды операциялық қызметке тәуелсіз Қоғамның тиісті құрылымдық бөлімшелері жүзеге асыруы керек</w:t>
      </w:r>
    </w:p>
    <w:p w14:paraId="5B6798E2" w14:textId="77777777" w:rsidR="00DE0F45" w:rsidRPr="00DE0F45" w:rsidRDefault="00DE0F45" w:rsidP="00DE0F45">
      <w:pPr>
        <w:jc w:val="both"/>
        <w:rPr>
          <w:rFonts w:ascii="Times New Roman" w:hAnsi="Times New Roman" w:cs="Times New Roman"/>
          <w:sz w:val="28"/>
          <w:szCs w:val="28"/>
          <w:lang w:val="kk-KZ"/>
        </w:rPr>
      </w:pPr>
      <w:r w:rsidRPr="00DE0F45">
        <w:rPr>
          <w:rFonts w:ascii="Times New Roman" w:hAnsi="Times New Roman" w:cs="Times New Roman"/>
          <w:sz w:val="28"/>
          <w:szCs w:val="28"/>
          <w:lang w:val="kk-KZ"/>
        </w:rPr>
        <w:lastRenderedPageBreak/>
        <w:t>Кезеңділік-тәуекелдерді басқару процесі - бұл оның негізгі компоненттерінің үнемі қайталанатын құрылымдық циклы</w:t>
      </w:r>
    </w:p>
    <w:p w14:paraId="047B9C38" w14:textId="1524BAFB" w:rsidR="00D96D14" w:rsidRPr="00DE0F45" w:rsidRDefault="00D96D14" w:rsidP="00D96D14">
      <w:pPr>
        <w:rPr>
          <w:lang w:val="kk-KZ"/>
        </w:rPr>
      </w:pPr>
    </w:p>
    <w:p w14:paraId="31CA26C7" w14:textId="77777777" w:rsidR="00D96D14" w:rsidRPr="00B644B7" w:rsidRDefault="00D96D14" w:rsidP="00D96D14">
      <w:pPr>
        <w:tabs>
          <w:tab w:val="left" w:pos="1200"/>
        </w:tabs>
        <w:jc w:val="center"/>
        <w:rPr>
          <w:rFonts w:ascii="Times New Roman" w:eastAsia="Calibri" w:hAnsi="Times New Roman" w:cs="Times New Roman"/>
          <w:sz w:val="28"/>
          <w:szCs w:val="28"/>
          <w:lang w:val="kk-KZ"/>
        </w:rPr>
      </w:pPr>
      <w:r w:rsidRPr="00DE0F45">
        <w:rPr>
          <w:lang w:val="kk-KZ"/>
        </w:rPr>
        <w:tab/>
      </w:r>
      <w:r w:rsidRPr="00B644B7">
        <w:rPr>
          <w:rFonts w:ascii="Times New Roman" w:eastAsia="Times New Roman" w:hAnsi="Times New Roman" w:cs="Times New Roman"/>
          <w:sz w:val="28"/>
          <w:szCs w:val="28"/>
          <w:lang w:val="kk-KZ"/>
        </w:rPr>
        <w:t>ӘДЕБИЕТТЕР</w:t>
      </w:r>
    </w:p>
    <w:p w14:paraId="333E65C1" w14:textId="77777777" w:rsidR="00B644B7" w:rsidRPr="00B644B7" w:rsidRDefault="00000000" w:rsidP="00D96D14">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7BD25F32" w14:textId="77777777" w:rsidR="00D96D14" w:rsidRPr="00B644B7" w:rsidRDefault="00D96D14" w:rsidP="00D96D1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509B094F" w14:textId="77777777" w:rsidR="00D96D14" w:rsidRPr="00B644B7" w:rsidRDefault="00D96D14" w:rsidP="00D96D1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66C0F72F" w14:textId="77777777" w:rsidR="00D96D14" w:rsidRPr="00B644B7" w:rsidRDefault="00D96D14" w:rsidP="00D96D1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3D7BDF6" w14:textId="77777777" w:rsidR="00D96D14" w:rsidRPr="00B644B7" w:rsidRDefault="00D96D14" w:rsidP="00D96D1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569F51D2" w14:textId="77777777" w:rsidR="00D96D14" w:rsidRPr="00B644B7" w:rsidRDefault="00D96D14" w:rsidP="00D96D1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3912BBC2" w14:textId="77777777" w:rsidR="00D96D14" w:rsidRPr="00B644B7" w:rsidRDefault="00D96D14" w:rsidP="00D96D1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1EB9CC7B" w14:textId="77777777" w:rsidR="00D96D14" w:rsidRPr="00B644B7" w:rsidRDefault="00D96D14" w:rsidP="00D96D1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58E65DB4" w14:textId="77777777" w:rsidR="00D96D14" w:rsidRPr="00B644B7" w:rsidRDefault="00D96D14" w:rsidP="00D96D1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18A5A61F" w14:textId="77777777" w:rsidR="00D96D14" w:rsidRPr="00B644B7" w:rsidRDefault="00D96D14" w:rsidP="00D96D1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25E2C409" w14:textId="77777777" w:rsidR="00D96D14" w:rsidRPr="00B644B7" w:rsidRDefault="00D96D14" w:rsidP="00D96D14">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07875FC5" w14:textId="77777777" w:rsidR="00D96D14" w:rsidRPr="00B644B7" w:rsidRDefault="00D96D14" w:rsidP="00D96D14">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6F71BB84" w14:textId="77777777" w:rsidR="00D96D14" w:rsidRPr="00B644B7" w:rsidRDefault="00D96D14" w:rsidP="00D96D1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7933A492" w14:textId="77777777" w:rsidR="00D96D14" w:rsidRPr="00B644B7" w:rsidRDefault="00D96D14" w:rsidP="00D96D14">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4D3D6B5A" w14:textId="77777777" w:rsidR="00D96D14" w:rsidRPr="00B644B7" w:rsidRDefault="00D96D14" w:rsidP="00D96D1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484C2E57" w14:textId="77777777" w:rsidR="00D96D14" w:rsidRPr="00B644B7" w:rsidRDefault="00D96D14" w:rsidP="00D96D14">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2D9AA6DC" w14:textId="77777777" w:rsidR="00D96D14" w:rsidRPr="00B644B7" w:rsidRDefault="00D96D14" w:rsidP="00D96D1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210004F0" w14:textId="77777777" w:rsidR="00D96D14" w:rsidRPr="00B644B7" w:rsidRDefault="00D96D14" w:rsidP="00D96D1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18CA3BD0" w14:textId="77777777" w:rsidR="00D96D14" w:rsidRPr="00B644B7" w:rsidRDefault="00D96D14" w:rsidP="00D96D1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21655F20" w14:textId="77777777" w:rsidR="00D96D14" w:rsidRPr="00B644B7" w:rsidRDefault="00D96D14" w:rsidP="00D96D1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48FF09D1" w14:textId="77777777" w:rsidR="00D96D14" w:rsidRPr="00B644B7" w:rsidRDefault="00D96D14" w:rsidP="00D96D14">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7B2883CB" w14:textId="77777777" w:rsidR="00D96D14" w:rsidRPr="00B644B7" w:rsidRDefault="00D96D14" w:rsidP="00D96D14">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5C550006" w14:textId="77777777" w:rsidR="00D96D14" w:rsidRPr="00B644B7" w:rsidRDefault="00D96D14" w:rsidP="00D96D1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3EEDAFE" w14:textId="77777777" w:rsidR="00D96D14" w:rsidRPr="00B644B7" w:rsidRDefault="00D96D14" w:rsidP="00D96D1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3D5422EE" w14:textId="77777777" w:rsidR="00D96D14" w:rsidRPr="00B644B7" w:rsidRDefault="00D96D14" w:rsidP="00D96D1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5FCCEA70" w14:textId="77777777" w:rsidR="00D96D14" w:rsidRPr="00B644B7" w:rsidRDefault="00D96D14" w:rsidP="00D96D1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34AACB1" w14:textId="77777777" w:rsidR="00D96D14" w:rsidRPr="00B644B7" w:rsidRDefault="00D96D14" w:rsidP="00D96D14">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72CFF29E" w14:textId="77777777" w:rsidR="00D96D14" w:rsidRPr="00B644B7" w:rsidRDefault="00D96D14" w:rsidP="00D96D14">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2E9B7BF4" w14:textId="77777777" w:rsidR="00D96D14" w:rsidRPr="00B644B7" w:rsidRDefault="00D96D14" w:rsidP="00D96D14">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1DEF107E" w14:textId="77777777" w:rsidR="00D96D14" w:rsidRPr="00B644B7" w:rsidRDefault="00D96D14" w:rsidP="00D96D14">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775864DF" w14:textId="77777777" w:rsidR="00D96D14" w:rsidRPr="00B644B7" w:rsidRDefault="00D96D14" w:rsidP="00D96D14">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1522BA92" w14:textId="77777777" w:rsidR="00D96D14" w:rsidRPr="00B644B7" w:rsidRDefault="00D96D14" w:rsidP="00D96D14">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lastRenderedPageBreak/>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05C3ABE" w14:textId="77777777" w:rsidR="00D96D14" w:rsidRPr="00B644B7" w:rsidRDefault="00D96D14" w:rsidP="00D96D14">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D4684B6" w14:textId="77777777" w:rsidR="00D96D14" w:rsidRPr="00B644B7" w:rsidRDefault="00D96D14" w:rsidP="00D96D14">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355DECFF" w14:textId="77777777" w:rsidR="00D96D14" w:rsidRPr="00B644B7" w:rsidRDefault="00D96D14" w:rsidP="00D96D14">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6F59B2EC" w14:textId="77777777" w:rsidR="00D96D14" w:rsidRPr="00B644B7" w:rsidRDefault="00D96D14" w:rsidP="00D96D14">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5F320217" w14:textId="77777777" w:rsidR="00D96D14" w:rsidRPr="00B644B7" w:rsidRDefault="00D96D14" w:rsidP="00D96D14">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1C871E06" w14:textId="77777777" w:rsidR="00D96D14" w:rsidRPr="00B644B7" w:rsidRDefault="00D96D14" w:rsidP="00D96D14">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069794B7" w14:textId="77777777" w:rsidR="00D96D14" w:rsidRPr="00B644B7" w:rsidRDefault="00D96D14" w:rsidP="00D96D14">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0030DD5E" w14:textId="77777777" w:rsidR="00D96D14" w:rsidRPr="00B644B7" w:rsidRDefault="00D96D14" w:rsidP="00D96D14">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3D25F039" w14:textId="6DA90B0E" w:rsidR="00D96D14" w:rsidRPr="00D96D14" w:rsidRDefault="00D96D14" w:rsidP="00D96D14">
      <w:pPr>
        <w:tabs>
          <w:tab w:val="left" w:pos="2250"/>
        </w:tabs>
        <w:rPr>
          <w:lang w:val="kk-KZ"/>
        </w:rPr>
      </w:pPr>
    </w:p>
    <w:sectPr w:rsidR="00D96D14" w:rsidRPr="00D96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F2998"/>
    <w:multiLevelType w:val="hybridMultilevel"/>
    <w:tmpl w:val="97AAF112"/>
    <w:lvl w:ilvl="0" w:tplc="CCC058DE">
      <w:start w:val="1"/>
      <w:numFmt w:val="decimal"/>
      <w:lvlText w:val="%1."/>
      <w:lvlJc w:val="left"/>
      <w:pPr>
        <w:ind w:left="720" w:hanging="360"/>
      </w:pPr>
      <w:rPr>
        <w:rFonts w:eastAsiaTheme="minorHAnsi" w:cstheme="minorBid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152651244">
    <w:abstractNumId w:val="1"/>
  </w:num>
  <w:num w:numId="2" w16cid:durableId="34282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00"/>
    <w:rsid w:val="001F7C35"/>
    <w:rsid w:val="00AE1D00"/>
    <w:rsid w:val="00D96D14"/>
    <w:rsid w:val="00DE0F45"/>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0855"/>
  <w15:chartTrackingRefBased/>
  <w15:docId w15:val="{6D3ECD38-0011-4BB8-985F-411A590F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C35"/>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DE0F45"/>
    <w:pPr>
      <w:spacing w:line="240" w:lineRule="auto"/>
      <w:ind w:left="720"/>
      <w:contextualSpacing/>
    </w:pPr>
    <w:rPr>
      <w:rFonts w:ascii="Times New Roman" w:hAnsi="Times New Roman"/>
      <w:sz w:val="28"/>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DE0F4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1314</Words>
  <Characters>7493</Characters>
  <Application>Microsoft Office Word</Application>
  <DocSecurity>0</DocSecurity>
  <Lines>62</Lines>
  <Paragraphs>17</Paragraphs>
  <ScaleCrop>false</ScaleCrop>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2022-12-15T15:16:00Z</dcterms:created>
  <dcterms:modified xsi:type="dcterms:W3CDTF">2022-12-16T03:25:00Z</dcterms:modified>
</cp:coreProperties>
</file>